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608987" w14:textId="48BBEFF4" w:rsidR="00BC5D9D" w:rsidRPr="002463D7" w:rsidRDefault="00BC5D9D" w:rsidP="00BC5D9D">
      <w:pPr>
        <w:pStyle w:val="8"/>
        <w:tabs>
          <w:tab w:val="center" w:pos="4513"/>
        </w:tabs>
        <w:suppressAutoHyphens/>
        <w:spacing w:line="240" w:lineRule="auto"/>
        <w:ind w:left="2160" w:hanging="2160"/>
        <w:jc w:val="both"/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</w:pPr>
      <w:r w:rsidRPr="002463D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APPENDIX</w:t>
      </w:r>
      <w:r w:rsidRPr="002463D7">
        <w:rPr>
          <w:rFonts w:ascii="Times New Roman" w:hAnsi="Times New Roman"/>
          <w:bCs/>
          <w:color w:val="339966"/>
          <w:sz w:val="24"/>
          <w:szCs w:val="24"/>
        </w:rPr>
        <w:t xml:space="preserve"> </w:t>
      </w:r>
      <w:r w:rsidR="0089739D" w:rsidRPr="002463D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2</w:t>
      </w:r>
      <w:r w:rsidR="00F25218" w:rsidRPr="002463D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.2</w:t>
      </w:r>
      <w:r w:rsidR="00694E47" w:rsidRPr="002463D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A</w:t>
      </w:r>
      <w:r w:rsidRPr="002463D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ab/>
      </w:r>
      <w:r w:rsidR="00694E47" w:rsidRPr="002463D7">
        <w:rPr>
          <w:rFonts w:ascii="Times New Roman" w:hAnsi="Times New Roman"/>
          <w:b/>
          <w:bCs/>
          <w:color w:val="339966"/>
          <w:spacing w:val="-3"/>
          <w:sz w:val="24"/>
          <w:szCs w:val="24"/>
        </w:rPr>
        <w:t>IMPLEMENTATION PLAN</w:t>
      </w:r>
    </w:p>
    <w:p w14:paraId="79B9BFF0" w14:textId="20FB9961" w:rsidR="00BC5D9D" w:rsidRPr="002463D7" w:rsidRDefault="00BC5D9D" w:rsidP="00403482">
      <w:pPr>
        <w:tabs>
          <w:tab w:val="center" w:pos="5160"/>
        </w:tabs>
        <w:ind w:left="-720" w:right="-1246" w:firstLine="1440"/>
        <w:rPr>
          <w:b/>
          <w:color w:val="339966"/>
          <w:sz w:val="24"/>
          <w:szCs w:val="24"/>
        </w:rPr>
      </w:pPr>
      <w:r w:rsidRPr="002463D7">
        <w:rPr>
          <w:bCs/>
          <w:color w:val="339966"/>
          <w:sz w:val="24"/>
          <w:szCs w:val="24"/>
        </w:rPr>
        <w:tab/>
      </w:r>
      <w:r w:rsidR="00CF10A6" w:rsidRPr="002463D7">
        <w:rPr>
          <w:b/>
          <w:color w:val="339966"/>
          <w:sz w:val="24"/>
          <w:szCs w:val="24"/>
        </w:rPr>
        <w:tab/>
      </w:r>
    </w:p>
    <w:p w14:paraId="6831BBB8" w14:textId="77777777" w:rsidR="001E2EC7" w:rsidRPr="002463D7" w:rsidRDefault="001E2EC7">
      <w:pPr>
        <w:overflowPunct/>
        <w:autoSpaceDE/>
        <w:autoSpaceDN/>
        <w:adjustRightInd/>
        <w:textAlignment w:val="auto"/>
        <w:rPr>
          <w:color w:val="339966"/>
          <w:sz w:val="24"/>
          <w:szCs w:val="24"/>
          <w:lang w:eastAsia="zh-HK"/>
        </w:rPr>
      </w:pPr>
    </w:p>
    <w:tbl>
      <w:tblPr>
        <w:tblStyle w:val="aff3"/>
        <w:tblW w:w="9918" w:type="dxa"/>
        <w:tblBorders>
          <w:top w:val="single" w:sz="4" w:space="0" w:color="339966"/>
          <w:left w:val="single" w:sz="4" w:space="0" w:color="339966"/>
          <w:bottom w:val="single" w:sz="4" w:space="0" w:color="339966"/>
          <w:right w:val="single" w:sz="4" w:space="0" w:color="339966"/>
          <w:insideH w:val="single" w:sz="4" w:space="0" w:color="339966"/>
          <w:insideV w:val="single" w:sz="4" w:space="0" w:color="339966"/>
        </w:tblBorders>
        <w:tblLook w:val="04A0" w:firstRow="1" w:lastRow="0" w:firstColumn="1" w:lastColumn="0" w:noHBand="0" w:noVBand="1"/>
      </w:tblPr>
      <w:tblGrid>
        <w:gridCol w:w="7083"/>
        <w:gridCol w:w="1418"/>
        <w:gridCol w:w="1417"/>
      </w:tblGrid>
      <w:tr w:rsidR="002463D7" w:rsidRPr="002463D7" w14:paraId="762C8142" w14:textId="77777777" w:rsidTr="007927D7">
        <w:trPr>
          <w:tblHeader/>
        </w:trPr>
        <w:tc>
          <w:tcPr>
            <w:tcW w:w="7083" w:type="dxa"/>
            <w:shd w:val="clear" w:color="auto" w:fill="F2F2F2" w:themeFill="background1" w:themeFillShade="F2"/>
          </w:tcPr>
          <w:p w14:paraId="1C76F982" w14:textId="77777777" w:rsidR="00694E47" w:rsidRPr="002463D7" w:rsidRDefault="00694E47" w:rsidP="003B0D54">
            <w:pPr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Activities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B4EBDB4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Start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14:paraId="36D07530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Finish</w:t>
            </w:r>
          </w:p>
        </w:tc>
      </w:tr>
      <w:tr w:rsidR="002463D7" w:rsidRPr="002463D7" w14:paraId="7B6E244F" w14:textId="77777777" w:rsidTr="007927D7">
        <w:tc>
          <w:tcPr>
            <w:tcW w:w="7083" w:type="dxa"/>
          </w:tcPr>
          <w:p w14:paraId="2467C47A" w14:textId="77777777" w:rsidR="00694E47" w:rsidRPr="002463D7" w:rsidRDefault="00694E47" w:rsidP="00694E47">
            <w:pPr>
              <w:pStyle w:val="aff4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line="360" w:lineRule="exact"/>
              <w:ind w:leftChars="0"/>
              <w:jc w:val="both"/>
              <w:textAlignment w:val="auto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Registration</w:t>
            </w:r>
          </w:p>
        </w:tc>
        <w:tc>
          <w:tcPr>
            <w:tcW w:w="1418" w:type="dxa"/>
          </w:tcPr>
          <w:p w14:paraId="3BE94DC5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0059430E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66A61BF5" w14:textId="77777777" w:rsidTr="007927D7">
        <w:tc>
          <w:tcPr>
            <w:tcW w:w="7083" w:type="dxa"/>
          </w:tcPr>
          <w:p w14:paraId="4B73DBB1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Formal registration</w:t>
            </w:r>
          </w:p>
        </w:tc>
        <w:tc>
          <w:tcPr>
            <w:tcW w:w="1418" w:type="dxa"/>
          </w:tcPr>
          <w:p w14:paraId="36BFFA3B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Jul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7DEF769B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0FDE09D4" w14:textId="77777777" w:rsidTr="007927D7">
        <w:tc>
          <w:tcPr>
            <w:tcW w:w="7083" w:type="dxa"/>
          </w:tcPr>
          <w:p w14:paraId="0D8B6564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Accept full time local/ overseas professionals recognized by local professional bodies</w:t>
            </w:r>
          </w:p>
        </w:tc>
        <w:tc>
          <w:tcPr>
            <w:tcW w:w="1418" w:type="dxa"/>
          </w:tcPr>
          <w:p w14:paraId="37BD6992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Jul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7887E160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30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Nov 2020</w:t>
            </w:r>
          </w:p>
        </w:tc>
      </w:tr>
      <w:tr w:rsidR="002463D7" w:rsidRPr="002463D7" w14:paraId="36134ED7" w14:textId="77777777" w:rsidTr="007927D7">
        <w:tc>
          <w:tcPr>
            <w:tcW w:w="7083" w:type="dxa"/>
          </w:tcPr>
          <w:p w14:paraId="542BB77F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Accept full time local professionals recognized by local professional bodies only</w:t>
            </w:r>
          </w:p>
        </w:tc>
        <w:tc>
          <w:tcPr>
            <w:tcW w:w="1418" w:type="dxa"/>
          </w:tcPr>
          <w:p w14:paraId="2C2B66CB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1 Dec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2020</w:t>
            </w:r>
          </w:p>
        </w:tc>
        <w:tc>
          <w:tcPr>
            <w:tcW w:w="1417" w:type="dxa"/>
          </w:tcPr>
          <w:p w14:paraId="1813438E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391A90E5" w14:textId="77777777" w:rsidTr="007927D7">
        <w:tc>
          <w:tcPr>
            <w:tcW w:w="7083" w:type="dxa"/>
          </w:tcPr>
          <w:p w14:paraId="1DC4670C" w14:textId="7450D91E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Allow change Group after registration without imposing debarment period subject to compliance with relevant admission criteria</w:t>
            </w:r>
          </w:p>
        </w:tc>
        <w:tc>
          <w:tcPr>
            <w:tcW w:w="1418" w:type="dxa"/>
          </w:tcPr>
          <w:p w14:paraId="12B20224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Jul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5208DD31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30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Nov 2020</w:t>
            </w:r>
          </w:p>
        </w:tc>
      </w:tr>
      <w:tr w:rsidR="002463D7" w:rsidRPr="002463D7" w14:paraId="1D64472F" w14:textId="77777777" w:rsidTr="007927D7">
        <w:tc>
          <w:tcPr>
            <w:tcW w:w="7083" w:type="dxa"/>
          </w:tcPr>
          <w:p w14:paraId="4B3570D7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First biennial renewal of registration </w:t>
            </w:r>
          </w:p>
        </w:tc>
        <w:tc>
          <w:tcPr>
            <w:tcW w:w="1418" w:type="dxa"/>
          </w:tcPr>
          <w:p w14:paraId="5C36C52A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1 Dec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2020</w:t>
            </w:r>
          </w:p>
        </w:tc>
        <w:tc>
          <w:tcPr>
            <w:tcW w:w="1417" w:type="dxa"/>
          </w:tcPr>
          <w:p w14:paraId="3C36CD07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71F6DF98" w14:textId="77777777" w:rsidTr="007927D7">
        <w:tc>
          <w:tcPr>
            <w:tcW w:w="7083" w:type="dxa"/>
          </w:tcPr>
          <w:p w14:paraId="2B0B8E0C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First re-grouping exercise</w:t>
            </w:r>
          </w:p>
        </w:tc>
        <w:tc>
          <w:tcPr>
            <w:tcW w:w="1418" w:type="dxa"/>
          </w:tcPr>
          <w:p w14:paraId="75553022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rFonts w:eastAsiaTheme="minorEastAsia"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2022</w:t>
            </w:r>
          </w:p>
        </w:tc>
        <w:tc>
          <w:tcPr>
            <w:tcW w:w="1417" w:type="dxa"/>
          </w:tcPr>
          <w:p w14:paraId="60247705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6B2257BA" w14:textId="77777777" w:rsidTr="007927D7">
        <w:tc>
          <w:tcPr>
            <w:tcW w:w="7083" w:type="dxa"/>
          </w:tcPr>
          <w:p w14:paraId="26ECAFD3" w14:textId="77777777" w:rsidR="00694E47" w:rsidRPr="002463D7" w:rsidRDefault="00694E47" w:rsidP="00694E47">
            <w:pPr>
              <w:pStyle w:val="aff4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line="360" w:lineRule="exact"/>
              <w:ind w:leftChars="0"/>
              <w:jc w:val="both"/>
              <w:textAlignment w:val="auto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Consultancy Tender</w:t>
            </w:r>
          </w:p>
        </w:tc>
        <w:tc>
          <w:tcPr>
            <w:tcW w:w="1418" w:type="dxa"/>
          </w:tcPr>
          <w:p w14:paraId="6121F0D1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6E20607C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6867AFB0" w14:textId="77777777" w:rsidTr="007927D7">
        <w:tc>
          <w:tcPr>
            <w:tcW w:w="7083" w:type="dxa"/>
          </w:tcPr>
          <w:p w14:paraId="1F8C5CF4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All EOI/ Tenders to be invited from new Service Categories/Groups </w:t>
            </w:r>
          </w:p>
          <w:p w14:paraId="66D6C325" w14:textId="77777777" w:rsidR="00694E47" w:rsidRPr="002463D7" w:rsidRDefault="00694E47" w:rsidP="003B0D54">
            <w:pPr>
              <w:jc w:val="both"/>
              <w:rPr>
                <w:i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i/>
                <w:color w:val="339966"/>
                <w:sz w:val="24"/>
                <w:szCs w:val="24"/>
                <w:lang w:eastAsia="zh-HK"/>
              </w:rPr>
              <w:t>[For consultancies having EOI submission or T&amp;F Proposal (for one-stage procedure) invited on or after the date shown]</w:t>
            </w:r>
          </w:p>
        </w:tc>
        <w:tc>
          <w:tcPr>
            <w:tcW w:w="1418" w:type="dxa"/>
          </w:tcPr>
          <w:p w14:paraId="58095FB8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3</w:t>
            </w: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 xml:space="preserve"> Dec 2018</w:t>
            </w:r>
          </w:p>
        </w:tc>
        <w:tc>
          <w:tcPr>
            <w:tcW w:w="1417" w:type="dxa"/>
          </w:tcPr>
          <w:p w14:paraId="7AAA0AA7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32115A76" w14:textId="77777777" w:rsidTr="007927D7">
        <w:tc>
          <w:tcPr>
            <w:tcW w:w="7083" w:type="dxa"/>
          </w:tcPr>
          <w:p w14:paraId="6CCBD910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Implement new VFM Measures (Fee Diving Control Mechanism &amp; Full Mark Approach)</w:t>
            </w:r>
          </w:p>
          <w:p w14:paraId="63532AC1" w14:textId="77777777" w:rsidR="00694E47" w:rsidRPr="002463D7" w:rsidRDefault="00694E47" w:rsidP="003B0D54">
            <w:pPr>
              <w:jc w:val="both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i/>
                <w:color w:val="339966"/>
                <w:sz w:val="24"/>
                <w:szCs w:val="24"/>
                <w:lang w:eastAsia="zh-HK"/>
              </w:rPr>
              <w:t>[For consultancies having EOI submission or T&amp;F Proposal (for one-stage procedure) invited on or after the date shown]</w:t>
            </w:r>
          </w:p>
        </w:tc>
        <w:tc>
          <w:tcPr>
            <w:tcW w:w="1418" w:type="dxa"/>
          </w:tcPr>
          <w:p w14:paraId="089C1658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Dec 2018</w:t>
            </w:r>
          </w:p>
        </w:tc>
        <w:tc>
          <w:tcPr>
            <w:tcW w:w="1417" w:type="dxa"/>
          </w:tcPr>
          <w:p w14:paraId="6711D47B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0EF2D1A9" w14:textId="77777777" w:rsidTr="007927D7">
        <w:tc>
          <w:tcPr>
            <w:tcW w:w="7083" w:type="dxa"/>
          </w:tcPr>
          <w:p w14:paraId="5EC82A4C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Implement regulating action against manpower irregularity by deducting marks in</w:t>
            </w:r>
            <w:bookmarkStart w:id="0" w:name="_GoBack"/>
            <w:bookmarkEnd w:id="0"/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technical assessment</w:t>
            </w:r>
          </w:p>
          <w:p w14:paraId="400B7FC0" w14:textId="77777777" w:rsidR="00694E47" w:rsidRPr="002463D7" w:rsidRDefault="00694E47" w:rsidP="003B0D54">
            <w:pPr>
              <w:jc w:val="both"/>
              <w:rPr>
                <w:color w:val="339966"/>
                <w:sz w:val="24"/>
                <w:szCs w:val="24"/>
              </w:rPr>
            </w:pPr>
            <w:r w:rsidRPr="002463D7">
              <w:rPr>
                <w:i/>
                <w:color w:val="339966"/>
                <w:sz w:val="24"/>
                <w:szCs w:val="24"/>
                <w:lang w:eastAsia="zh-HK"/>
              </w:rPr>
              <w:t>[For consultancies having EOI submission or T&amp;F Proposal (for one-stage procedure) invited on or after the date shown]</w:t>
            </w:r>
          </w:p>
        </w:tc>
        <w:tc>
          <w:tcPr>
            <w:tcW w:w="1418" w:type="dxa"/>
          </w:tcPr>
          <w:p w14:paraId="1430AFEF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rFonts w:eastAsiaTheme="minorEastAsia"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Dec 2018</w:t>
            </w:r>
          </w:p>
        </w:tc>
        <w:tc>
          <w:tcPr>
            <w:tcW w:w="1417" w:type="dxa"/>
          </w:tcPr>
          <w:p w14:paraId="2ADA2CBB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77F4D287" w14:textId="77777777" w:rsidTr="007927D7">
        <w:tc>
          <w:tcPr>
            <w:tcW w:w="7083" w:type="dxa"/>
          </w:tcPr>
          <w:p w14:paraId="1461FE10" w14:textId="77777777" w:rsidR="00694E47" w:rsidRPr="002463D7" w:rsidRDefault="00694E47" w:rsidP="00694E47">
            <w:pPr>
              <w:pStyle w:val="aff4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line="360" w:lineRule="exact"/>
              <w:ind w:leftChars="0"/>
              <w:jc w:val="both"/>
              <w:textAlignment w:val="auto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Performance Monitoring and Management</w:t>
            </w:r>
          </w:p>
        </w:tc>
        <w:tc>
          <w:tcPr>
            <w:tcW w:w="1418" w:type="dxa"/>
          </w:tcPr>
          <w:p w14:paraId="0E5C7219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0B91EB19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35554723" w14:textId="77777777" w:rsidTr="007927D7">
        <w:tc>
          <w:tcPr>
            <w:tcW w:w="7083" w:type="dxa"/>
          </w:tcPr>
          <w:p w14:paraId="063D8AF2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Continue to adopt current disciplinary action</w:t>
            </w:r>
          </w:p>
        </w:tc>
        <w:tc>
          <w:tcPr>
            <w:tcW w:w="1418" w:type="dxa"/>
          </w:tcPr>
          <w:p w14:paraId="020809CF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Current</w:t>
            </w:r>
          </w:p>
        </w:tc>
        <w:tc>
          <w:tcPr>
            <w:tcW w:w="1417" w:type="dxa"/>
          </w:tcPr>
          <w:p w14:paraId="096CFDE7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2 Dec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</w:tr>
      <w:tr w:rsidR="002463D7" w:rsidRPr="002463D7" w14:paraId="053A1450" w14:textId="77777777" w:rsidTr="007927D7">
        <w:tc>
          <w:tcPr>
            <w:tcW w:w="7083" w:type="dxa"/>
          </w:tcPr>
          <w:p w14:paraId="2396C760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Implement disciplinary action in respect of List of Consultants of EACSB, including removing from the List and debarring for re-admission.</w:t>
            </w:r>
          </w:p>
        </w:tc>
        <w:tc>
          <w:tcPr>
            <w:tcW w:w="1418" w:type="dxa"/>
          </w:tcPr>
          <w:p w14:paraId="6A6B64E8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Dec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350B153A" w14:textId="77777777" w:rsidR="00694E47" w:rsidRPr="002463D7" w:rsidDel="009578ED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6E33E5B0" w14:textId="77777777" w:rsidTr="007927D7">
        <w:tc>
          <w:tcPr>
            <w:tcW w:w="7083" w:type="dxa"/>
          </w:tcPr>
          <w:p w14:paraId="2029E40E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Introduce a separate assessment aspect on consultants’ professional conduct</w:t>
            </w:r>
          </w:p>
        </w:tc>
        <w:tc>
          <w:tcPr>
            <w:tcW w:w="1418" w:type="dxa"/>
          </w:tcPr>
          <w:p w14:paraId="021EC043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rFonts w:eastAsiaTheme="minorEastAsia"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1 Jun 2021</w:t>
            </w:r>
          </w:p>
        </w:tc>
        <w:tc>
          <w:tcPr>
            <w:tcW w:w="1417" w:type="dxa"/>
          </w:tcPr>
          <w:p w14:paraId="70C26F47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33762023" w14:textId="77777777" w:rsidTr="007927D7">
        <w:tc>
          <w:tcPr>
            <w:tcW w:w="7083" w:type="dxa"/>
          </w:tcPr>
          <w:p w14:paraId="57FF7B42" w14:textId="77777777" w:rsidR="00694E47" w:rsidRPr="002463D7" w:rsidRDefault="00694E47" w:rsidP="00694E47">
            <w:pPr>
              <w:pStyle w:val="aff4"/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line="360" w:lineRule="exact"/>
              <w:ind w:leftChars="0"/>
              <w:jc w:val="both"/>
              <w:textAlignment w:val="auto"/>
              <w:rPr>
                <w:b/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b/>
                <w:color w:val="339966"/>
                <w:sz w:val="24"/>
                <w:szCs w:val="24"/>
                <w:lang w:eastAsia="zh-HK"/>
              </w:rPr>
              <w:t>Enhancing Inter-Bureaux/ Departments Coordination</w:t>
            </w:r>
          </w:p>
        </w:tc>
        <w:tc>
          <w:tcPr>
            <w:tcW w:w="1418" w:type="dxa"/>
          </w:tcPr>
          <w:p w14:paraId="7F288996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  <w:tc>
          <w:tcPr>
            <w:tcW w:w="1417" w:type="dxa"/>
          </w:tcPr>
          <w:p w14:paraId="51332DF0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b/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302662B5" w14:textId="77777777" w:rsidTr="007927D7">
        <w:tc>
          <w:tcPr>
            <w:tcW w:w="7083" w:type="dxa"/>
          </w:tcPr>
          <w:p w14:paraId="55BBB149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Expansion of function of DCRCs</w:t>
            </w:r>
          </w:p>
        </w:tc>
        <w:tc>
          <w:tcPr>
            <w:tcW w:w="1418" w:type="dxa"/>
          </w:tcPr>
          <w:p w14:paraId="1C8D1DCE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Jul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6CBD2AF8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  <w:tr w:rsidR="002463D7" w:rsidRPr="002463D7" w14:paraId="67A5EDB7" w14:textId="77777777" w:rsidTr="007927D7">
        <w:tc>
          <w:tcPr>
            <w:tcW w:w="7083" w:type="dxa"/>
          </w:tcPr>
          <w:p w14:paraId="4BA581E9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Establishment of ICRC</w:t>
            </w:r>
          </w:p>
        </w:tc>
        <w:tc>
          <w:tcPr>
            <w:tcW w:w="1418" w:type="dxa"/>
          </w:tcPr>
          <w:p w14:paraId="27759E6A" w14:textId="77777777" w:rsidR="00694E47" w:rsidRPr="002463D7" w:rsidDel="000B65D1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Dec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664B0905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</w:p>
        </w:tc>
      </w:tr>
      <w:tr w:rsidR="002463D7" w:rsidRPr="002463D7" w14:paraId="189DC706" w14:textId="77777777" w:rsidTr="007927D7">
        <w:tc>
          <w:tcPr>
            <w:tcW w:w="7083" w:type="dxa"/>
          </w:tcPr>
          <w:p w14:paraId="639D6AB5" w14:textId="77777777" w:rsidR="00694E47" w:rsidRPr="002463D7" w:rsidRDefault="00694E47" w:rsidP="00694E47">
            <w:pPr>
              <w:pStyle w:val="aff4"/>
              <w:numPr>
                <w:ilvl w:val="0"/>
                <w:numId w:val="30"/>
              </w:numPr>
              <w:overflowPunct/>
              <w:autoSpaceDE/>
              <w:autoSpaceDN/>
              <w:adjustRightInd/>
              <w:spacing w:line="360" w:lineRule="exact"/>
              <w:ind w:leftChars="0" w:left="447" w:hanging="218"/>
              <w:jc w:val="both"/>
              <w:textAlignment w:val="auto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Allow authorized access to PWCRAR and PWPLPR by DEVB Group of Departments </w:t>
            </w:r>
          </w:p>
        </w:tc>
        <w:tc>
          <w:tcPr>
            <w:tcW w:w="1418" w:type="dxa"/>
          </w:tcPr>
          <w:p w14:paraId="29138ACE" w14:textId="77777777" w:rsidR="00694E47" w:rsidRPr="002463D7" w:rsidRDefault="00694E47" w:rsidP="003B0D54">
            <w:pPr>
              <w:ind w:leftChars="-42" w:left="-84" w:rightChars="-47" w:right="-94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rFonts w:eastAsiaTheme="minorEastAsia"/>
                <w:color w:val="339966"/>
                <w:sz w:val="24"/>
                <w:szCs w:val="24"/>
                <w:lang w:eastAsia="zh-HK"/>
              </w:rPr>
              <w:t>3 Jul</w:t>
            </w:r>
            <w:r w:rsidRPr="002463D7">
              <w:rPr>
                <w:color w:val="339966"/>
                <w:sz w:val="24"/>
                <w:szCs w:val="24"/>
                <w:lang w:eastAsia="zh-HK"/>
              </w:rPr>
              <w:t xml:space="preserve"> 2018</w:t>
            </w:r>
          </w:p>
        </w:tc>
        <w:tc>
          <w:tcPr>
            <w:tcW w:w="1417" w:type="dxa"/>
          </w:tcPr>
          <w:p w14:paraId="6DC0CDA3" w14:textId="77777777" w:rsidR="00694E47" w:rsidRPr="002463D7" w:rsidRDefault="00694E47" w:rsidP="003B0D54">
            <w:pPr>
              <w:ind w:leftChars="-61" w:left="-122" w:rightChars="-43" w:right="-86"/>
              <w:jc w:val="center"/>
              <w:rPr>
                <w:color w:val="339966"/>
                <w:sz w:val="24"/>
                <w:szCs w:val="24"/>
                <w:lang w:eastAsia="zh-HK"/>
              </w:rPr>
            </w:pPr>
            <w:r w:rsidRPr="002463D7">
              <w:rPr>
                <w:color w:val="339966"/>
                <w:sz w:val="24"/>
                <w:szCs w:val="24"/>
                <w:lang w:eastAsia="zh-HK"/>
              </w:rPr>
              <w:t>-</w:t>
            </w:r>
          </w:p>
        </w:tc>
      </w:tr>
    </w:tbl>
    <w:p w14:paraId="56FB724F" w14:textId="77777777" w:rsidR="001E2EC7" w:rsidRPr="002463D7" w:rsidRDefault="001E2EC7">
      <w:pPr>
        <w:overflowPunct/>
        <w:autoSpaceDE/>
        <w:autoSpaceDN/>
        <w:adjustRightInd/>
        <w:textAlignment w:val="auto"/>
        <w:rPr>
          <w:color w:val="339966"/>
          <w:sz w:val="24"/>
          <w:szCs w:val="24"/>
          <w:lang w:eastAsia="zh-HK"/>
        </w:rPr>
      </w:pPr>
    </w:p>
    <w:sectPr w:rsidR="001E2EC7" w:rsidRPr="002463D7" w:rsidSect="00830D16">
      <w:headerReference w:type="default" r:id="rId8"/>
      <w:footerReference w:type="default" r:id="rId9"/>
      <w:pgSz w:w="11909" w:h="16834"/>
      <w:pgMar w:top="1196" w:right="987" w:bottom="851" w:left="1009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A5DB2" w14:textId="77777777" w:rsidR="00DC1EF1" w:rsidRDefault="00DC1EF1">
      <w:r>
        <w:separator/>
      </w:r>
    </w:p>
  </w:endnote>
  <w:endnote w:type="continuationSeparator" w:id="0">
    <w:p w14:paraId="3570DC95" w14:textId="77777777" w:rsidR="00DC1EF1" w:rsidRDefault="00DC1EF1">
      <w:r>
        <w:continuationSeparator/>
      </w:r>
    </w:p>
  </w:endnote>
  <w:endnote w:type="continuationNotice" w:id="1">
    <w:p w14:paraId="1C42AA2C" w14:textId="77777777" w:rsidR="00DC1EF1" w:rsidRDefault="00DC1E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0CBC1" w14:textId="5768BAB1" w:rsidR="005E4AE2" w:rsidRPr="008C738B" w:rsidRDefault="005E4AE2" w:rsidP="008C738B">
    <w:pPr>
      <w:pStyle w:val="a9"/>
      <w:tabs>
        <w:tab w:val="clear" w:pos="8640"/>
        <w:tab w:val="right" w:pos="9639"/>
      </w:tabs>
      <w:rPr>
        <w:color w:val="339966"/>
        <w:sz w:val="24"/>
        <w:szCs w:val="24"/>
      </w:rPr>
    </w:pPr>
    <w:r w:rsidRPr="008C738B">
      <w:rPr>
        <w:rFonts w:hint="eastAsia"/>
        <w:color w:val="339966"/>
        <w:sz w:val="24"/>
        <w:szCs w:val="24"/>
        <w:lang w:eastAsia="zh-HK"/>
      </w:rPr>
      <w:t>Revision No. 1</w:t>
    </w:r>
    <w:r w:rsidRPr="008C738B">
      <w:rPr>
        <w:color w:val="339966"/>
        <w:sz w:val="24"/>
        <w:szCs w:val="24"/>
        <w:lang w:eastAsia="zh-HK"/>
      </w:rPr>
      <w:t>6</w:t>
    </w:r>
    <w:r w:rsidRPr="008C738B">
      <w:rPr>
        <w:rFonts w:hint="eastAsia"/>
        <w:color w:val="339966"/>
        <w:sz w:val="24"/>
        <w:szCs w:val="24"/>
        <w:lang w:eastAsia="zh-HK"/>
      </w:rPr>
      <w:t xml:space="preserve"> (</w:t>
    </w:r>
    <w:r w:rsidR="00FE2D03">
      <w:rPr>
        <w:color w:val="339966"/>
        <w:sz w:val="24"/>
        <w:szCs w:val="24"/>
        <w:lang w:eastAsia="zh-HK"/>
      </w:rPr>
      <w:t>December</w:t>
    </w:r>
    <w:r w:rsidRPr="008C738B">
      <w:rPr>
        <w:color w:val="339966"/>
        <w:sz w:val="24"/>
        <w:szCs w:val="24"/>
        <w:lang w:eastAsia="zh-HK"/>
      </w:rPr>
      <w:t xml:space="preserve"> 2020</w:t>
    </w:r>
    <w:r w:rsidRPr="008C738B">
      <w:rPr>
        <w:rFonts w:hint="eastAsia"/>
        <w:color w:val="339966"/>
        <w:sz w:val="24"/>
        <w:szCs w:val="24"/>
        <w:lang w:eastAsia="zh-HK"/>
      </w:rPr>
      <w:t>)</w:t>
    </w:r>
    <w:r w:rsidRPr="008C738B">
      <w:rPr>
        <w:rFonts w:hint="eastAsia"/>
        <w:color w:val="339966"/>
        <w:sz w:val="24"/>
        <w:szCs w:val="24"/>
      </w:rPr>
      <w:tab/>
    </w:r>
    <w:r w:rsidRPr="008C738B">
      <w:rPr>
        <w:rFonts w:hint="eastAsia"/>
        <w:color w:val="339966"/>
        <w:sz w:val="24"/>
        <w:szCs w:val="24"/>
      </w:rPr>
      <w:tab/>
      <w:t xml:space="preserve">App. </w:t>
    </w:r>
    <w:r w:rsidR="0089739D" w:rsidRPr="008C738B">
      <w:rPr>
        <w:color w:val="339966"/>
        <w:sz w:val="24"/>
        <w:szCs w:val="24"/>
      </w:rPr>
      <w:t>2</w:t>
    </w:r>
    <w:r w:rsidRPr="008C738B">
      <w:rPr>
        <w:rFonts w:hint="eastAsia"/>
        <w:color w:val="339966"/>
        <w:sz w:val="24"/>
        <w:szCs w:val="24"/>
      </w:rPr>
      <w:t>.</w:t>
    </w:r>
    <w:r w:rsidRPr="008C738B">
      <w:rPr>
        <w:color w:val="339966"/>
        <w:sz w:val="24"/>
        <w:szCs w:val="24"/>
      </w:rPr>
      <w:t>2</w:t>
    </w:r>
    <w:r w:rsidR="002463D7" w:rsidRPr="008C738B">
      <w:rPr>
        <w:color w:val="339966"/>
        <w:sz w:val="24"/>
        <w:szCs w:val="24"/>
      </w:rPr>
      <w:t>A</w:t>
    </w:r>
  </w:p>
  <w:p w14:paraId="5B74B1E4" w14:textId="77777777" w:rsidR="00F25218" w:rsidRDefault="00F2521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40AE6" w14:textId="77777777" w:rsidR="00DC1EF1" w:rsidRDefault="00DC1EF1">
      <w:r>
        <w:separator/>
      </w:r>
    </w:p>
  </w:footnote>
  <w:footnote w:type="continuationSeparator" w:id="0">
    <w:p w14:paraId="7BE51D4D" w14:textId="77777777" w:rsidR="00DC1EF1" w:rsidRDefault="00DC1EF1">
      <w:r>
        <w:continuationSeparator/>
      </w:r>
    </w:p>
  </w:footnote>
  <w:footnote w:type="continuationNotice" w:id="1">
    <w:p w14:paraId="257931AF" w14:textId="77777777" w:rsidR="00DC1EF1" w:rsidRDefault="00DC1EF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3F58E1" w14:textId="77777777" w:rsidR="00A52D3E" w:rsidRDefault="00A52D3E" w:rsidP="00566DD6">
    <w:pPr>
      <w:pStyle w:val="a8"/>
      <w:jc w:val="center"/>
      <w:rPr>
        <w:b/>
        <w:bCs/>
        <w:sz w:val="28"/>
      </w:rPr>
    </w:pPr>
    <w:r>
      <w:rPr>
        <w:rFonts w:hint="eastAsia"/>
        <w:b/>
        <w:bCs/>
        <w:sz w:val="28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148B264"/>
    <w:lvl w:ilvl="0">
      <w:start w:val="1"/>
      <w:numFmt w:val="decimal"/>
      <w:pStyle w:val="5"/>
      <w:lvlText w:val="%1."/>
      <w:lvlJc w:val="left"/>
      <w:pPr>
        <w:tabs>
          <w:tab w:val="num" w:pos="2280"/>
        </w:tabs>
        <w:ind w:left="2280" w:hanging="360"/>
      </w:pPr>
    </w:lvl>
  </w:abstractNum>
  <w:abstractNum w:abstractNumId="1" w15:restartNumberingAfterBreak="0">
    <w:nsid w:val="FFFFFF7D"/>
    <w:multiLevelType w:val="singleLevel"/>
    <w:tmpl w:val="28B2C19E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E"/>
    <w:multiLevelType w:val="singleLevel"/>
    <w:tmpl w:val="937EAE8A"/>
    <w:lvl w:ilvl="0">
      <w:start w:val="1"/>
      <w:numFmt w:val="decimal"/>
      <w:pStyle w:val="3"/>
      <w:lvlText w:val="%1."/>
      <w:lvlJc w:val="left"/>
      <w:pPr>
        <w:tabs>
          <w:tab w:val="num" w:pos="1320"/>
        </w:tabs>
        <w:ind w:left="1320" w:hanging="360"/>
      </w:pPr>
    </w:lvl>
  </w:abstractNum>
  <w:abstractNum w:abstractNumId="3" w15:restartNumberingAfterBreak="0">
    <w:nsid w:val="FFFFFF7F"/>
    <w:multiLevelType w:val="singleLevel"/>
    <w:tmpl w:val="C17C5200"/>
    <w:lvl w:ilvl="0">
      <w:start w:val="1"/>
      <w:numFmt w:val="decimal"/>
      <w:pStyle w:val="2"/>
      <w:lvlText w:val="%1."/>
      <w:lvlJc w:val="left"/>
      <w:pPr>
        <w:tabs>
          <w:tab w:val="num" w:pos="840"/>
        </w:tabs>
        <w:ind w:left="840" w:hanging="360"/>
      </w:pPr>
    </w:lvl>
  </w:abstractNum>
  <w:abstractNum w:abstractNumId="4" w15:restartNumberingAfterBreak="0">
    <w:nsid w:val="FFFFFF80"/>
    <w:multiLevelType w:val="singleLevel"/>
    <w:tmpl w:val="4A62287A"/>
    <w:lvl w:ilvl="0">
      <w:start w:val="1"/>
      <w:numFmt w:val="bullet"/>
      <w:pStyle w:val="50"/>
      <w:lvlText w:val="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E6B415C8"/>
    <w:lvl w:ilvl="0">
      <w:start w:val="1"/>
      <w:numFmt w:val="bullet"/>
      <w:pStyle w:val="40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252D9FA"/>
    <w:lvl w:ilvl="0">
      <w:start w:val="1"/>
      <w:numFmt w:val="bullet"/>
      <w:pStyle w:val="30"/>
      <w:lvlText w:val="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9D43614"/>
    <w:lvl w:ilvl="0">
      <w:start w:val="1"/>
      <w:numFmt w:val="bullet"/>
      <w:pStyle w:val="20"/>
      <w:lvlText w:val="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9CE0C9B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4033D2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1ED0D3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4433D47"/>
    <w:multiLevelType w:val="hybridMultilevel"/>
    <w:tmpl w:val="F4423DAA"/>
    <w:lvl w:ilvl="0" w:tplc="1960D9D2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AE35804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B0159E"/>
    <w:multiLevelType w:val="hybridMultilevel"/>
    <w:tmpl w:val="82FEED7E"/>
    <w:lvl w:ilvl="0" w:tplc="5FC0CB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 w15:restartNumberingAfterBreak="0">
    <w:nsid w:val="0FA13F8C"/>
    <w:multiLevelType w:val="hybridMultilevel"/>
    <w:tmpl w:val="62304ABE"/>
    <w:lvl w:ilvl="0" w:tplc="B7360B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CC4712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A4B619A"/>
    <w:multiLevelType w:val="hybridMultilevel"/>
    <w:tmpl w:val="0086586C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7" w15:restartNumberingAfterBreak="0">
    <w:nsid w:val="1E107195"/>
    <w:multiLevelType w:val="hybridMultilevel"/>
    <w:tmpl w:val="4C303096"/>
    <w:lvl w:ilvl="0" w:tplc="CF42A8E8">
      <w:start w:val="2"/>
      <w:numFmt w:val="bullet"/>
      <w:lvlText w:val=""/>
      <w:lvlJc w:val="left"/>
      <w:pPr>
        <w:tabs>
          <w:tab w:val="num" w:pos="482"/>
        </w:tabs>
        <w:ind w:left="482" w:hanging="48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0"/>
        </w:tabs>
        <w:ind w:left="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</w:abstractNum>
  <w:abstractNum w:abstractNumId="18" w15:restartNumberingAfterBreak="0">
    <w:nsid w:val="202613EE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C313B0"/>
    <w:multiLevelType w:val="hybridMultilevel"/>
    <w:tmpl w:val="FC18C97A"/>
    <w:lvl w:ilvl="0" w:tplc="C67E5CD0">
      <w:start w:val="1"/>
      <w:numFmt w:val="bullet"/>
      <w:lvlText w:val="-"/>
      <w:lvlJc w:val="left"/>
      <w:pPr>
        <w:ind w:left="84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0" w15:restartNumberingAfterBreak="0">
    <w:nsid w:val="3B75401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0B1F76"/>
    <w:multiLevelType w:val="hybridMultilevel"/>
    <w:tmpl w:val="39D62304"/>
    <w:lvl w:ilvl="0" w:tplc="5B1CB6B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2" w15:restartNumberingAfterBreak="0">
    <w:nsid w:val="52652D93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234AD8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304954"/>
    <w:multiLevelType w:val="hybridMultilevel"/>
    <w:tmpl w:val="0F86C380"/>
    <w:lvl w:ilvl="0" w:tplc="9B8E3572">
      <w:start w:val="1"/>
      <w:numFmt w:val="decimal"/>
      <w:lvlText w:val="%1."/>
      <w:lvlJc w:val="left"/>
      <w:pPr>
        <w:ind w:left="480" w:hanging="480"/>
      </w:pPr>
      <w:rPr>
        <w:i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5D86DAB"/>
    <w:multiLevelType w:val="hybridMultilevel"/>
    <w:tmpl w:val="9ACE5332"/>
    <w:lvl w:ilvl="0" w:tplc="E78697DE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6" w15:restartNumberingAfterBreak="0">
    <w:nsid w:val="6FA26CC0"/>
    <w:multiLevelType w:val="hybridMultilevel"/>
    <w:tmpl w:val="BE2C35CE"/>
    <w:lvl w:ilvl="0" w:tplc="8D80E96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AD9E1EB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7D327E9A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57E0C7D6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11F0A270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421EE2E8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708ACFD2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6BFC183C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F7703E4C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F14C69"/>
    <w:multiLevelType w:val="hybridMultilevel"/>
    <w:tmpl w:val="2962EF74"/>
    <w:lvl w:ilvl="0" w:tplc="C32853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93B2643"/>
    <w:multiLevelType w:val="hybridMultilevel"/>
    <w:tmpl w:val="1D861AA4"/>
    <w:lvl w:ilvl="0" w:tplc="4546F23A">
      <w:start w:val="4"/>
      <w:numFmt w:val="decimal"/>
      <w:lvlText w:val="%1."/>
      <w:lvlJc w:val="left"/>
      <w:pPr>
        <w:tabs>
          <w:tab w:val="num" w:pos="2160"/>
        </w:tabs>
        <w:ind w:left="2160" w:hanging="13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40"/>
        </w:tabs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80"/>
        </w:tabs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20"/>
        </w:tabs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00"/>
        </w:tabs>
        <w:ind w:left="5100" w:hanging="480"/>
      </w:pPr>
    </w:lvl>
  </w:abstractNum>
  <w:abstractNum w:abstractNumId="29" w15:restartNumberingAfterBreak="0">
    <w:nsid w:val="7CC01824"/>
    <w:multiLevelType w:val="hybridMultilevel"/>
    <w:tmpl w:val="B68E1E00"/>
    <w:lvl w:ilvl="0" w:tplc="32766A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21"/>
  </w:num>
  <w:num w:numId="13">
    <w:abstractNumId w:val="16"/>
  </w:num>
  <w:num w:numId="14">
    <w:abstractNumId w:val="17"/>
  </w:num>
  <w:num w:numId="15">
    <w:abstractNumId w:val="13"/>
  </w:num>
  <w:num w:numId="16">
    <w:abstractNumId w:val="29"/>
  </w:num>
  <w:num w:numId="17">
    <w:abstractNumId w:val="25"/>
  </w:num>
  <w:num w:numId="18">
    <w:abstractNumId w:val="11"/>
  </w:num>
  <w:num w:numId="19">
    <w:abstractNumId w:val="14"/>
  </w:num>
  <w:num w:numId="20">
    <w:abstractNumId w:val="24"/>
  </w:num>
  <w:num w:numId="21">
    <w:abstractNumId w:val="20"/>
  </w:num>
  <w:num w:numId="22">
    <w:abstractNumId w:val="10"/>
  </w:num>
  <w:num w:numId="23">
    <w:abstractNumId w:val="22"/>
  </w:num>
  <w:num w:numId="24">
    <w:abstractNumId w:val="26"/>
  </w:num>
  <w:num w:numId="25">
    <w:abstractNumId w:val="23"/>
  </w:num>
  <w:num w:numId="26">
    <w:abstractNumId w:val="18"/>
  </w:num>
  <w:num w:numId="27">
    <w:abstractNumId w:val="12"/>
  </w:num>
  <w:num w:numId="28">
    <w:abstractNumId w:val="15"/>
  </w:num>
  <w:num w:numId="29">
    <w:abstractNumId w:val="27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6"/>
    <w:rsid w:val="00004F3B"/>
    <w:rsid w:val="00005956"/>
    <w:rsid w:val="0002217B"/>
    <w:rsid w:val="00024874"/>
    <w:rsid w:val="00024AC8"/>
    <w:rsid w:val="0003373C"/>
    <w:rsid w:val="000367E9"/>
    <w:rsid w:val="00036D06"/>
    <w:rsid w:val="00051A1E"/>
    <w:rsid w:val="000728B7"/>
    <w:rsid w:val="0008146A"/>
    <w:rsid w:val="000816B1"/>
    <w:rsid w:val="00086BAE"/>
    <w:rsid w:val="00093027"/>
    <w:rsid w:val="00097B07"/>
    <w:rsid w:val="000A2FD2"/>
    <w:rsid w:val="000A3957"/>
    <w:rsid w:val="000A3FB2"/>
    <w:rsid w:val="000A6593"/>
    <w:rsid w:val="000B09AA"/>
    <w:rsid w:val="000B1723"/>
    <w:rsid w:val="000B628E"/>
    <w:rsid w:val="000C770C"/>
    <w:rsid w:val="000E7FD6"/>
    <w:rsid w:val="000F30D6"/>
    <w:rsid w:val="000F35D4"/>
    <w:rsid w:val="00105F67"/>
    <w:rsid w:val="00113E57"/>
    <w:rsid w:val="00114C45"/>
    <w:rsid w:val="001173C4"/>
    <w:rsid w:val="00117C10"/>
    <w:rsid w:val="00123420"/>
    <w:rsid w:val="0013646B"/>
    <w:rsid w:val="00142BEE"/>
    <w:rsid w:val="001468E0"/>
    <w:rsid w:val="00157956"/>
    <w:rsid w:val="00163A31"/>
    <w:rsid w:val="00163DC5"/>
    <w:rsid w:val="00166B0F"/>
    <w:rsid w:val="001701BC"/>
    <w:rsid w:val="001733CB"/>
    <w:rsid w:val="001739C0"/>
    <w:rsid w:val="001769AA"/>
    <w:rsid w:val="001857BD"/>
    <w:rsid w:val="00185F76"/>
    <w:rsid w:val="00187855"/>
    <w:rsid w:val="001A459F"/>
    <w:rsid w:val="001B56F2"/>
    <w:rsid w:val="001C6E9E"/>
    <w:rsid w:val="001D1299"/>
    <w:rsid w:val="001D20CA"/>
    <w:rsid w:val="001D3ADA"/>
    <w:rsid w:val="001D5804"/>
    <w:rsid w:val="001E1FF6"/>
    <w:rsid w:val="001E2B90"/>
    <w:rsid w:val="001E2EC7"/>
    <w:rsid w:val="001F14A1"/>
    <w:rsid w:val="001F2DF5"/>
    <w:rsid w:val="001F6233"/>
    <w:rsid w:val="00207E24"/>
    <w:rsid w:val="00216513"/>
    <w:rsid w:val="00233208"/>
    <w:rsid w:val="002404B6"/>
    <w:rsid w:val="002463D7"/>
    <w:rsid w:val="002540BE"/>
    <w:rsid w:val="00254779"/>
    <w:rsid w:val="00261039"/>
    <w:rsid w:val="00261ED9"/>
    <w:rsid w:val="00265930"/>
    <w:rsid w:val="002754A3"/>
    <w:rsid w:val="002758FE"/>
    <w:rsid w:val="00276642"/>
    <w:rsid w:val="00290EF5"/>
    <w:rsid w:val="00296738"/>
    <w:rsid w:val="00296D2B"/>
    <w:rsid w:val="002A1184"/>
    <w:rsid w:val="002B2D7F"/>
    <w:rsid w:val="002B5A9A"/>
    <w:rsid w:val="002D2591"/>
    <w:rsid w:val="002D652C"/>
    <w:rsid w:val="002D7E51"/>
    <w:rsid w:val="00300269"/>
    <w:rsid w:val="00303DE7"/>
    <w:rsid w:val="0030413F"/>
    <w:rsid w:val="00304D37"/>
    <w:rsid w:val="00314AEE"/>
    <w:rsid w:val="00314DE0"/>
    <w:rsid w:val="00315442"/>
    <w:rsid w:val="00320BC3"/>
    <w:rsid w:val="0033696D"/>
    <w:rsid w:val="003508E6"/>
    <w:rsid w:val="00352284"/>
    <w:rsid w:val="00360F1B"/>
    <w:rsid w:val="003667A4"/>
    <w:rsid w:val="003710BA"/>
    <w:rsid w:val="00380038"/>
    <w:rsid w:val="00383B9C"/>
    <w:rsid w:val="00384248"/>
    <w:rsid w:val="00394137"/>
    <w:rsid w:val="00395EE9"/>
    <w:rsid w:val="003A7C47"/>
    <w:rsid w:val="003B4FCE"/>
    <w:rsid w:val="003C5927"/>
    <w:rsid w:val="003D2316"/>
    <w:rsid w:val="003D2769"/>
    <w:rsid w:val="003E3999"/>
    <w:rsid w:val="003E6A86"/>
    <w:rsid w:val="003F6211"/>
    <w:rsid w:val="003F7FD4"/>
    <w:rsid w:val="00403482"/>
    <w:rsid w:val="004141B3"/>
    <w:rsid w:val="0041586F"/>
    <w:rsid w:val="004169FA"/>
    <w:rsid w:val="00423399"/>
    <w:rsid w:val="00425873"/>
    <w:rsid w:val="00426F71"/>
    <w:rsid w:val="004361FB"/>
    <w:rsid w:val="00441172"/>
    <w:rsid w:val="004502E2"/>
    <w:rsid w:val="00454F83"/>
    <w:rsid w:val="004560D9"/>
    <w:rsid w:val="00456471"/>
    <w:rsid w:val="00460DF8"/>
    <w:rsid w:val="00464630"/>
    <w:rsid w:val="004716D0"/>
    <w:rsid w:val="00473334"/>
    <w:rsid w:val="00473885"/>
    <w:rsid w:val="00474C1A"/>
    <w:rsid w:val="004756A0"/>
    <w:rsid w:val="00482169"/>
    <w:rsid w:val="004902B9"/>
    <w:rsid w:val="00491EF5"/>
    <w:rsid w:val="004A06D0"/>
    <w:rsid w:val="004A082F"/>
    <w:rsid w:val="004A719A"/>
    <w:rsid w:val="004B601C"/>
    <w:rsid w:val="004C651E"/>
    <w:rsid w:val="004C7102"/>
    <w:rsid w:val="004D4DBB"/>
    <w:rsid w:val="004D5F60"/>
    <w:rsid w:val="004D6E93"/>
    <w:rsid w:val="004D71FF"/>
    <w:rsid w:val="004E6CA6"/>
    <w:rsid w:val="004F2704"/>
    <w:rsid w:val="004F3E65"/>
    <w:rsid w:val="004F3EF1"/>
    <w:rsid w:val="005006F6"/>
    <w:rsid w:val="005079E8"/>
    <w:rsid w:val="00516269"/>
    <w:rsid w:val="00516B2B"/>
    <w:rsid w:val="00522A48"/>
    <w:rsid w:val="005329DB"/>
    <w:rsid w:val="00556E1E"/>
    <w:rsid w:val="005646EC"/>
    <w:rsid w:val="0056474E"/>
    <w:rsid w:val="00566DD6"/>
    <w:rsid w:val="005726C6"/>
    <w:rsid w:val="00572ACE"/>
    <w:rsid w:val="00590836"/>
    <w:rsid w:val="005A0F6F"/>
    <w:rsid w:val="005A240E"/>
    <w:rsid w:val="005A3E56"/>
    <w:rsid w:val="005A6FE0"/>
    <w:rsid w:val="005B31E0"/>
    <w:rsid w:val="005D103A"/>
    <w:rsid w:val="005D685C"/>
    <w:rsid w:val="005E4AE2"/>
    <w:rsid w:val="005E4FD9"/>
    <w:rsid w:val="005E6A52"/>
    <w:rsid w:val="005F53BB"/>
    <w:rsid w:val="005F7E68"/>
    <w:rsid w:val="006007BE"/>
    <w:rsid w:val="00604705"/>
    <w:rsid w:val="00605CB5"/>
    <w:rsid w:val="00611890"/>
    <w:rsid w:val="00616E93"/>
    <w:rsid w:val="00625549"/>
    <w:rsid w:val="00626A50"/>
    <w:rsid w:val="006368CF"/>
    <w:rsid w:val="00645C30"/>
    <w:rsid w:val="00647F68"/>
    <w:rsid w:val="00651506"/>
    <w:rsid w:val="00651D18"/>
    <w:rsid w:val="00653E42"/>
    <w:rsid w:val="00654ED3"/>
    <w:rsid w:val="006655DE"/>
    <w:rsid w:val="00681552"/>
    <w:rsid w:val="00681CBD"/>
    <w:rsid w:val="00687426"/>
    <w:rsid w:val="00690DB0"/>
    <w:rsid w:val="0069249C"/>
    <w:rsid w:val="00694E47"/>
    <w:rsid w:val="006B0827"/>
    <w:rsid w:val="006B3CB2"/>
    <w:rsid w:val="006C30F9"/>
    <w:rsid w:val="006C7FFD"/>
    <w:rsid w:val="006D0F87"/>
    <w:rsid w:val="006E7F95"/>
    <w:rsid w:val="007006F7"/>
    <w:rsid w:val="00700AE1"/>
    <w:rsid w:val="0071129C"/>
    <w:rsid w:val="0071314E"/>
    <w:rsid w:val="007315AB"/>
    <w:rsid w:val="00742D3D"/>
    <w:rsid w:val="00743A4C"/>
    <w:rsid w:val="0075334C"/>
    <w:rsid w:val="00757CAE"/>
    <w:rsid w:val="00764A95"/>
    <w:rsid w:val="00766F24"/>
    <w:rsid w:val="007716F4"/>
    <w:rsid w:val="007725B3"/>
    <w:rsid w:val="007728FE"/>
    <w:rsid w:val="00774405"/>
    <w:rsid w:val="00786FC1"/>
    <w:rsid w:val="00790A98"/>
    <w:rsid w:val="007927D7"/>
    <w:rsid w:val="00796A4D"/>
    <w:rsid w:val="007B71B2"/>
    <w:rsid w:val="007C05B6"/>
    <w:rsid w:val="007C751C"/>
    <w:rsid w:val="007C7CDA"/>
    <w:rsid w:val="007D57A2"/>
    <w:rsid w:val="007E2700"/>
    <w:rsid w:val="007F2B75"/>
    <w:rsid w:val="007F70D1"/>
    <w:rsid w:val="0082030C"/>
    <w:rsid w:val="00822827"/>
    <w:rsid w:val="00822FAA"/>
    <w:rsid w:val="008300DE"/>
    <w:rsid w:val="0083022A"/>
    <w:rsid w:val="00830D16"/>
    <w:rsid w:val="00832EBE"/>
    <w:rsid w:val="0084364C"/>
    <w:rsid w:val="00850461"/>
    <w:rsid w:val="00864CE0"/>
    <w:rsid w:val="00864F8B"/>
    <w:rsid w:val="0086509C"/>
    <w:rsid w:val="00874C17"/>
    <w:rsid w:val="00874E71"/>
    <w:rsid w:val="00876E50"/>
    <w:rsid w:val="00880EDD"/>
    <w:rsid w:val="008830CF"/>
    <w:rsid w:val="00883E88"/>
    <w:rsid w:val="008908BC"/>
    <w:rsid w:val="00895173"/>
    <w:rsid w:val="0089739D"/>
    <w:rsid w:val="008A0D0E"/>
    <w:rsid w:val="008A3B6F"/>
    <w:rsid w:val="008A580D"/>
    <w:rsid w:val="008B3461"/>
    <w:rsid w:val="008B7EFB"/>
    <w:rsid w:val="008C46A9"/>
    <w:rsid w:val="008C64C2"/>
    <w:rsid w:val="008C6766"/>
    <w:rsid w:val="008C738B"/>
    <w:rsid w:val="008D095E"/>
    <w:rsid w:val="008D4D48"/>
    <w:rsid w:val="008D578E"/>
    <w:rsid w:val="008D69CE"/>
    <w:rsid w:val="008E7FB6"/>
    <w:rsid w:val="00900FB3"/>
    <w:rsid w:val="0090242B"/>
    <w:rsid w:val="0090429B"/>
    <w:rsid w:val="0091219C"/>
    <w:rsid w:val="0091257C"/>
    <w:rsid w:val="00913483"/>
    <w:rsid w:val="00913B5A"/>
    <w:rsid w:val="0091432F"/>
    <w:rsid w:val="00914E74"/>
    <w:rsid w:val="0091541C"/>
    <w:rsid w:val="00925E6A"/>
    <w:rsid w:val="00927064"/>
    <w:rsid w:val="00930A09"/>
    <w:rsid w:val="00932161"/>
    <w:rsid w:val="009330CE"/>
    <w:rsid w:val="009517FB"/>
    <w:rsid w:val="009633F6"/>
    <w:rsid w:val="0096764D"/>
    <w:rsid w:val="009676ED"/>
    <w:rsid w:val="0097158F"/>
    <w:rsid w:val="0097474C"/>
    <w:rsid w:val="0098094C"/>
    <w:rsid w:val="00981608"/>
    <w:rsid w:val="00984476"/>
    <w:rsid w:val="009874EF"/>
    <w:rsid w:val="00991776"/>
    <w:rsid w:val="009C50B5"/>
    <w:rsid w:val="009E0805"/>
    <w:rsid w:val="009E5D2C"/>
    <w:rsid w:val="009E6F5C"/>
    <w:rsid w:val="009F5CBB"/>
    <w:rsid w:val="00A0520E"/>
    <w:rsid w:val="00A10016"/>
    <w:rsid w:val="00A111BA"/>
    <w:rsid w:val="00A115EB"/>
    <w:rsid w:val="00A21972"/>
    <w:rsid w:val="00A22BC6"/>
    <w:rsid w:val="00A334E4"/>
    <w:rsid w:val="00A34127"/>
    <w:rsid w:val="00A352C7"/>
    <w:rsid w:val="00A4147A"/>
    <w:rsid w:val="00A44574"/>
    <w:rsid w:val="00A52D3E"/>
    <w:rsid w:val="00A53DF4"/>
    <w:rsid w:val="00A80E39"/>
    <w:rsid w:val="00A831E8"/>
    <w:rsid w:val="00A83AC5"/>
    <w:rsid w:val="00A946BB"/>
    <w:rsid w:val="00AB3A91"/>
    <w:rsid w:val="00AC562C"/>
    <w:rsid w:val="00AD2480"/>
    <w:rsid w:val="00AD3EBF"/>
    <w:rsid w:val="00AE3840"/>
    <w:rsid w:val="00AE54AC"/>
    <w:rsid w:val="00AE5D3B"/>
    <w:rsid w:val="00AF1CCE"/>
    <w:rsid w:val="00AF2D2A"/>
    <w:rsid w:val="00AF472A"/>
    <w:rsid w:val="00B01373"/>
    <w:rsid w:val="00B05930"/>
    <w:rsid w:val="00B06715"/>
    <w:rsid w:val="00B10DBF"/>
    <w:rsid w:val="00B114E6"/>
    <w:rsid w:val="00B13460"/>
    <w:rsid w:val="00B17B78"/>
    <w:rsid w:val="00B20284"/>
    <w:rsid w:val="00B226A1"/>
    <w:rsid w:val="00B2796E"/>
    <w:rsid w:val="00B27CB7"/>
    <w:rsid w:val="00B44F33"/>
    <w:rsid w:val="00B56D97"/>
    <w:rsid w:val="00B65B6A"/>
    <w:rsid w:val="00B6745F"/>
    <w:rsid w:val="00B74723"/>
    <w:rsid w:val="00B757BE"/>
    <w:rsid w:val="00B80C73"/>
    <w:rsid w:val="00B85152"/>
    <w:rsid w:val="00B90E9F"/>
    <w:rsid w:val="00BA3F6D"/>
    <w:rsid w:val="00BA654F"/>
    <w:rsid w:val="00BB0385"/>
    <w:rsid w:val="00BB3A48"/>
    <w:rsid w:val="00BB6F5B"/>
    <w:rsid w:val="00BC5D9D"/>
    <w:rsid w:val="00BD1009"/>
    <w:rsid w:val="00BE7096"/>
    <w:rsid w:val="00BF526D"/>
    <w:rsid w:val="00C01C35"/>
    <w:rsid w:val="00C04FEA"/>
    <w:rsid w:val="00C1207D"/>
    <w:rsid w:val="00C1336F"/>
    <w:rsid w:val="00C215A9"/>
    <w:rsid w:val="00C34063"/>
    <w:rsid w:val="00C4060F"/>
    <w:rsid w:val="00C42513"/>
    <w:rsid w:val="00C501A3"/>
    <w:rsid w:val="00C51C17"/>
    <w:rsid w:val="00C63F35"/>
    <w:rsid w:val="00C67DAD"/>
    <w:rsid w:val="00C70CB1"/>
    <w:rsid w:val="00C7259F"/>
    <w:rsid w:val="00C81482"/>
    <w:rsid w:val="00C849EF"/>
    <w:rsid w:val="00C84ED8"/>
    <w:rsid w:val="00C96C11"/>
    <w:rsid w:val="00C97C03"/>
    <w:rsid w:val="00CA1D60"/>
    <w:rsid w:val="00CA654F"/>
    <w:rsid w:val="00CC4DB9"/>
    <w:rsid w:val="00CD2FC3"/>
    <w:rsid w:val="00CD543D"/>
    <w:rsid w:val="00CE1FFA"/>
    <w:rsid w:val="00CE632F"/>
    <w:rsid w:val="00CE7176"/>
    <w:rsid w:val="00CF10A6"/>
    <w:rsid w:val="00CF14C5"/>
    <w:rsid w:val="00D01A42"/>
    <w:rsid w:val="00D03EB9"/>
    <w:rsid w:val="00D053AD"/>
    <w:rsid w:val="00D336D9"/>
    <w:rsid w:val="00D40B03"/>
    <w:rsid w:val="00D4293B"/>
    <w:rsid w:val="00D462A7"/>
    <w:rsid w:val="00D53657"/>
    <w:rsid w:val="00D60A86"/>
    <w:rsid w:val="00D60BB4"/>
    <w:rsid w:val="00D649EE"/>
    <w:rsid w:val="00D74A87"/>
    <w:rsid w:val="00D820D8"/>
    <w:rsid w:val="00D95170"/>
    <w:rsid w:val="00DB266C"/>
    <w:rsid w:val="00DB32C7"/>
    <w:rsid w:val="00DC00CE"/>
    <w:rsid w:val="00DC14BE"/>
    <w:rsid w:val="00DC1EF1"/>
    <w:rsid w:val="00DE05DA"/>
    <w:rsid w:val="00DE316B"/>
    <w:rsid w:val="00DE6706"/>
    <w:rsid w:val="00DF1AD0"/>
    <w:rsid w:val="00DF4C11"/>
    <w:rsid w:val="00DF67B4"/>
    <w:rsid w:val="00E1751F"/>
    <w:rsid w:val="00E308C7"/>
    <w:rsid w:val="00E35578"/>
    <w:rsid w:val="00E4173C"/>
    <w:rsid w:val="00E42B12"/>
    <w:rsid w:val="00E4472F"/>
    <w:rsid w:val="00E44913"/>
    <w:rsid w:val="00E45B53"/>
    <w:rsid w:val="00E47771"/>
    <w:rsid w:val="00E53510"/>
    <w:rsid w:val="00E671E1"/>
    <w:rsid w:val="00E733AD"/>
    <w:rsid w:val="00E8114E"/>
    <w:rsid w:val="00E82048"/>
    <w:rsid w:val="00E843AC"/>
    <w:rsid w:val="00E877C0"/>
    <w:rsid w:val="00E9248D"/>
    <w:rsid w:val="00E92861"/>
    <w:rsid w:val="00EB0E6C"/>
    <w:rsid w:val="00EB2EBF"/>
    <w:rsid w:val="00EC1B0A"/>
    <w:rsid w:val="00ED7AF4"/>
    <w:rsid w:val="00EE02AE"/>
    <w:rsid w:val="00EE30B3"/>
    <w:rsid w:val="00EF2726"/>
    <w:rsid w:val="00EF3515"/>
    <w:rsid w:val="00EF5225"/>
    <w:rsid w:val="00EF68C0"/>
    <w:rsid w:val="00F04FAA"/>
    <w:rsid w:val="00F06826"/>
    <w:rsid w:val="00F06B12"/>
    <w:rsid w:val="00F136CD"/>
    <w:rsid w:val="00F22086"/>
    <w:rsid w:val="00F22EC9"/>
    <w:rsid w:val="00F25218"/>
    <w:rsid w:val="00F25746"/>
    <w:rsid w:val="00F27C74"/>
    <w:rsid w:val="00F35648"/>
    <w:rsid w:val="00F546A4"/>
    <w:rsid w:val="00F5519D"/>
    <w:rsid w:val="00F63712"/>
    <w:rsid w:val="00F65B29"/>
    <w:rsid w:val="00F668AD"/>
    <w:rsid w:val="00F67D1D"/>
    <w:rsid w:val="00F733DA"/>
    <w:rsid w:val="00F8424D"/>
    <w:rsid w:val="00F84EFA"/>
    <w:rsid w:val="00FA6150"/>
    <w:rsid w:val="00FB3DD3"/>
    <w:rsid w:val="00FB4937"/>
    <w:rsid w:val="00FC1F37"/>
    <w:rsid w:val="00FC2680"/>
    <w:rsid w:val="00FC44D6"/>
    <w:rsid w:val="00FC5D22"/>
    <w:rsid w:val="00FC7877"/>
    <w:rsid w:val="00FD51D8"/>
    <w:rsid w:val="00FD69BC"/>
    <w:rsid w:val="00FE2D03"/>
    <w:rsid w:val="00FE76E8"/>
    <w:rsid w:val="00F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E86A0EE"/>
  <w15:docId w15:val="{1F729239-9741-4BD6-8898-A1420D150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eastAsia="細明體"/>
      <w:lang w:val="en-GB"/>
    </w:rPr>
  </w:style>
  <w:style w:type="paragraph" w:styleId="1">
    <w:name w:val="heading 1"/>
    <w:basedOn w:val="a1"/>
    <w:next w:val="a1"/>
    <w:qFormat/>
    <w:pPr>
      <w:keepNext/>
      <w:ind w:left="720" w:right="612"/>
      <w:jc w:val="center"/>
      <w:outlineLvl w:val="0"/>
    </w:pPr>
    <w:rPr>
      <w:b/>
      <w:sz w:val="28"/>
      <w:lang w:val="en-US"/>
    </w:rPr>
  </w:style>
  <w:style w:type="paragraph" w:styleId="21">
    <w:name w:val="heading 2"/>
    <w:basedOn w:val="a1"/>
    <w:next w:val="a2"/>
    <w:qFormat/>
    <w:pPr>
      <w:keepNext/>
      <w:spacing w:before="156" w:line="240" w:lineRule="atLeast"/>
      <w:outlineLvl w:val="1"/>
    </w:pPr>
    <w:rPr>
      <w:b/>
      <w:i/>
      <w:sz w:val="23"/>
    </w:rPr>
  </w:style>
  <w:style w:type="paragraph" w:styleId="31">
    <w:name w:val="heading 3"/>
    <w:basedOn w:val="a1"/>
    <w:next w:val="a2"/>
    <w:qFormat/>
    <w:pPr>
      <w:keepNext/>
      <w:spacing w:before="240" w:line="240" w:lineRule="atLeast"/>
      <w:ind w:right="-101"/>
      <w:outlineLvl w:val="2"/>
    </w:pPr>
    <w:rPr>
      <w:b/>
      <w:i/>
      <w:sz w:val="23"/>
    </w:rPr>
  </w:style>
  <w:style w:type="paragraph" w:styleId="41">
    <w:name w:val="heading 4"/>
    <w:basedOn w:val="a1"/>
    <w:next w:val="a2"/>
    <w:qFormat/>
    <w:pPr>
      <w:keepNext/>
      <w:spacing w:before="156" w:line="240" w:lineRule="atLeast"/>
      <w:outlineLvl w:val="3"/>
    </w:pPr>
    <w:rPr>
      <w:b/>
      <w:i/>
    </w:rPr>
  </w:style>
  <w:style w:type="paragraph" w:styleId="51">
    <w:name w:val="heading 5"/>
    <w:basedOn w:val="a1"/>
    <w:next w:val="a2"/>
    <w:qFormat/>
    <w:pPr>
      <w:keepNext/>
      <w:tabs>
        <w:tab w:val="center" w:pos="6480"/>
      </w:tabs>
      <w:ind w:left="720" w:right="612"/>
      <w:jc w:val="both"/>
      <w:outlineLvl w:val="4"/>
    </w:pPr>
    <w:rPr>
      <w:sz w:val="28"/>
      <w:u w:val="single"/>
    </w:rPr>
  </w:style>
  <w:style w:type="paragraph" w:styleId="6">
    <w:name w:val="heading 6"/>
    <w:basedOn w:val="a1"/>
    <w:next w:val="a2"/>
    <w:qFormat/>
    <w:pPr>
      <w:keepNext/>
      <w:ind w:left="720" w:right="612"/>
      <w:jc w:val="center"/>
      <w:outlineLvl w:val="5"/>
    </w:pPr>
    <w:rPr>
      <w:b/>
      <w:sz w:val="28"/>
      <w:u w:val="single"/>
      <w:lang w:val="en-US"/>
    </w:rPr>
  </w:style>
  <w:style w:type="paragraph" w:styleId="7">
    <w:name w:val="heading 7"/>
    <w:basedOn w:val="a1"/>
    <w:next w:val="a2"/>
    <w:qFormat/>
    <w:pPr>
      <w:keepNext/>
      <w:spacing w:line="720" w:lineRule="auto"/>
      <w:ind w:left="851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1"/>
    <w:next w:val="a2"/>
    <w:qFormat/>
    <w:pPr>
      <w:keepNext/>
      <w:spacing w:line="720" w:lineRule="auto"/>
      <w:ind w:left="851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1"/>
    <w:next w:val="a2"/>
    <w:qFormat/>
    <w:pPr>
      <w:keepNext/>
      <w:spacing w:line="720" w:lineRule="auto"/>
      <w:ind w:left="851"/>
      <w:outlineLvl w:val="8"/>
    </w:pPr>
    <w:rPr>
      <w:rFonts w:ascii="Arial" w:eastAsia="新細明體" w:hAnsi="Arial"/>
      <w:sz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ubject">
    <w:name w:val="Subject"/>
    <w:basedOn w:val="a1"/>
    <w:pPr>
      <w:spacing w:before="60" w:after="60"/>
    </w:pPr>
  </w:style>
  <w:style w:type="paragraph" w:styleId="a6">
    <w:name w:val="Date"/>
    <w:basedOn w:val="a1"/>
    <w:pPr>
      <w:spacing w:before="60" w:after="60"/>
    </w:pPr>
  </w:style>
  <w:style w:type="paragraph" w:customStyle="1" w:styleId="To">
    <w:name w:val="To"/>
    <w:basedOn w:val="a1"/>
    <w:pPr>
      <w:spacing w:before="60" w:after="60"/>
    </w:pPr>
  </w:style>
  <w:style w:type="paragraph" w:customStyle="1" w:styleId="From">
    <w:name w:val="From"/>
    <w:basedOn w:val="a1"/>
    <w:pPr>
      <w:spacing w:before="60" w:after="60"/>
    </w:pPr>
  </w:style>
  <w:style w:type="paragraph" w:styleId="a7">
    <w:name w:val="Title"/>
    <w:basedOn w:val="a1"/>
    <w:qFormat/>
    <w:rPr>
      <w:b/>
      <w:sz w:val="24"/>
    </w:rPr>
  </w:style>
  <w:style w:type="paragraph" w:customStyle="1" w:styleId="CopyList">
    <w:name w:val="CopyList"/>
    <w:basedOn w:val="a1"/>
    <w:pPr>
      <w:tabs>
        <w:tab w:val="left" w:pos="504"/>
      </w:tabs>
      <w:spacing w:before="360"/>
      <w:ind w:left="504" w:hanging="504"/>
    </w:pPr>
  </w:style>
  <w:style w:type="paragraph" w:styleId="a8">
    <w:name w:val="header"/>
    <w:basedOn w:val="a1"/>
    <w:pPr>
      <w:tabs>
        <w:tab w:val="center" w:pos="4320"/>
        <w:tab w:val="right" w:pos="8640"/>
      </w:tabs>
    </w:pPr>
  </w:style>
  <w:style w:type="paragraph" w:styleId="a9">
    <w:name w:val="footer"/>
    <w:basedOn w:val="a1"/>
    <w:pPr>
      <w:tabs>
        <w:tab w:val="center" w:pos="4320"/>
        <w:tab w:val="right" w:pos="8640"/>
      </w:tabs>
    </w:pPr>
  </w:style>
  <w:style w:type="paragraph" w:styleId="a2">
    <w:name w:val="Normal Indent"/>
    <w:basedOn w:val="a1"/>
    <w:pPr>
      <w:ind w:left="480"/>
    </w:pPr>
  </w:style>
  <w:style w:type="paragraph" w:styleId="aa">
    <w:name w:val="Block Text"/>
    <w:basedOn w:val="a1"/>
    <w:pPr>
      <w:tabs>
        <w:tab w:val="left" w:pos="2160"/>
      </w:tabs>
      <w:ind w:left="720" w:right="612"/>
      <w:jc w:val="both"/>
    </w:pPr>
    <w:rPr>
      <w:sz w:val="28"/>
    </w:rPr>
  </w:style>
  <w:style w:type="paragraph" w:styleId="ab">
    <w:name w:val="Plain Text"/>
    <w:basedOn w:val="a1"/>
    <w:rPr>
      <w:rFonts w:ascii="細明體" w:hAnsi="Courier New"/>
      <w:sz w:val="24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Arial" w:eastAsia="新細明體" w:hAnsi="Arial"/>
    </w:r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sz w:val="24"/>
      <w:lang w:val="en-GB"/>
    </w:rPr>
  </w:style>
  <w:style w:type="paragraph" w:styleId="ae">
    <w:name w:val="Body Text"/>
    <w:basedOn w:val="a1"/>
    <w:pPr>
      <w:spacing w:after="120"/>
    </w:pPr>
  </w:style>
  <w:style w:type="paragraph" w:styleId="22">
    <w:name w:val="Body Text 2"/>
    <w:basedOn w:val="a1"/>
    <w:pPr>
      <w:spacing w:after="120" w:line="480" w:lineRule="auto"/>
    </w:pPr>
  </w:style>
  <w:style w:type="paragraph" w:styleId="32">
    <w:name w:val="Body Text 3"/>
    <w:basedOn w:val="a1"/>
    <w:pPr>
      <w:spacing w:after="120"/>
    </w:pPr>
    <w:rPr>
      <w:sz w:val="16"/>
    </w:rPr>
  </w:style>
  <w:style w:type="paragraph" w:styleId="af">
    <w:name w:val="Body Text First Indent"/>
    <w:basedOn w:val="ae"/>
    <w:pPr>
      <w:ind w:firstLine="210"/>
    </w:pPr>
  </w:style>
  <w:style w:type="paragraph" w:styleId="af0">
    <w:name w:val="Body Text Indent"/>
    <w:basedOn w:val="a1"/>
    <w:pPr>
      <w:spacing w:after="120"/>
      <w:ind w:left="480"/>
    </w:pPr>
  </w:style>
  <w:style w:type="paragraph" w:styleId="23">
    <w:name w:val="Body Text First Indent 2"/>
    <w:basedOn w:val="af0"/>
    <w:pPr>
      <w:ind w:firstLine="210"/>
    </w:pPr>
  </w:style>
  <w:style w:type="paragraph" w:styleId="24">
    <w:name w:val="Body Text Indent 2"/>
    <w:basedOn w:val="a1"/>
    <w:pPr>
      <w:spacing w:after="120" w:line="480" w:lineRule="auto"/>
      <w:ind w:left="480"/>
    </w:pPr>
  </w:style>
  <w:style w:type="paragraph" w:styleId="33">
    <w:name w:val="Body Text Indent 3"/>
    <w:basedOn w:val="a1"/>
    <w:pPr>
      <w:spacing w:after="120"/>
      <w:ind w:left="480"/>
    </w:pPr>
    <w:rPr>
      <w:sz w:val="16"/>
    </w:rPr>
  </w:style>
  <w:style w:type="paragraph" w:styleId="10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480"/>
    </w:pPr>
  </w:style>
  <w:style w:type="paragraph" w:styleId="34">
    <w:name w:val="toc 3"/>
    <w:basedOn w:val="a1"/>
    <w:next w:val="a1"/>
    <w:autoRedefine/>
    <w:semiHidden/>
    <w:pPr>
      <w:ind w:left="960"/>
    </w:pPr>
  </w:style>
  <w:style w:type="paragraph" w:styleId="42">
    <w:name w:val="toc 4"/>
    <w:basedOn w:val="a1"/>
    <w:next w:val="a1"/>
    <w:autoRedefine/>
    <w:semiHidden/>
    <w:pPr>
      <w:ind w:left="1440"/>
    </w:pPr>
  </w:style>
  <w:style w:type="paragraph" w:styleId="52">
    <w:name w:val="toc 5"/>
    <w:basedOn w:val="a1"/>
    <w:next w:val="a1"/>
    <w:autoRedefine/>
    <w:semiHidden/>
    <w:pPr>
      <w:ind w:left="1920"/>
    </w:pPr>
  </w:style>
  <w:style w:type="paragraph" w:styleId="60">
    <w:name w:val="toc 6"/>
    <w:basedOn w:val="a1"/>
    <w:next w:val="a1"/>
    <w:autoRedefine/>
    <w:semiHidden/>
    <w:pPr>
      <w:ind w:left="2400"/>
    </w:pPr>
  </w:style>
  <w:style w:type="paragraph" w:styleId="70">
    <w:name w:val="toc 7"/>
    <w:basedOn w:val="a1"/>
    <w:next w:val="a1"/>
    <w:autoRedefine/>
    <w:semiHidden/>
    <w:pPr>
      <w:ind w:left="2880"/>
    </w:pPr>
  </w:style>
  <w:style w:type="paragraph" w:styleId="80">
    <w:name w:val="toc 8"/>
    <w:basedOn w:val="a1"/>
    <w:next w:val="a1"/>
    <w:autoRedefine/>
    <w:semiHidden/>
    <w:pPr>
      <w:ind w:left="3360"/>
    </w:pPr>
  </w:style>
  <w:style w:type="paragraph" w:styleId="90">
    <w:name w:val="toc 9"/>
    <w:basedOn w:val="a1"/>
    <w:next w:val="a1"/>
    <w:autoRedefine/>
    <w:semiHidden/>
    <w:pPr>
      <w:ind w:left="3840"/>
    </w:pPr>
  </w:style>
  <w:style w:type="paragraph" w:styleId="af1">
    <w:name w:val="envelope address"/>
    <w:basedOn w:val="a1"/>
    <w:pPr>
      <w:framePr w:w="7920" w:h="1980" w:hRule="exact" w:hSpace="180" w:wrap="auto" w:hAnchor="page" w:xAlign="center" w:yAlign="bottom"/>
      <w:snapToGrid w:val="0"/>
      <w:ind w:left="2880"/>
    </w:pPr>
    <w:rPr>
      <w:rFonts w:ascii="Arial" w:hAnsi="Arial"/>
      <w:sz w:val="24"/>
    </w:rPr>
  </w:style>
  <w:style w:type="paragraph" w:styleId="af2">
    <w:name w:val="table of authorities"/>
    <w:basedOn w:val="a1"/>
    <w:next w:val="a1"/>
    <w:semiHidden/>
    <w:pPr>
      <w:ind w:left="480"/>
    </w:pPr>
  </w:style>
  <w:style w:type="paragraph" w:styleId="af3">
    <w:name w:val="toa heading"/>
    <w:basedOn w:val="a1"/>
    <w:next w:val="a1"/>
    <w:semiHidden/>
    <w:pPr>
      <w:spacing w:before="120"/>
    </w:pPr>
    <w:rPr>
      <w:rFonts w:ascii="Arial" w:eastAsia="新細明體" w:hAnsi="Arial"/>
      <w:sz w:val="24"/>
    </w:rPr>
  </w:style>
  <w:style w:type="paragraph" w:styleId="11">
    <w:name w:val="index 1"/>
    <w:basedOn w:val="a1"/>
    <w:next w:val="a1"/>
    <w:autoRedefine/>
    <w:semiHidden/>
  </w:style>
  <w:style w:type="paragraph" w:styleId="26">
    <w:name w:val="index 2"/>
    <w:basedOn w:val="a1"/>
    <w:next w:val="a1"/>
    <w:autoRedefine/>
    <w:semiHidden/>
    <w:pPr>
      <w:ind w:left="480"/>
    </w:pPr>
  </w:style>
  <w:style w:type="paragraph" w:styleId="35">
    <w:name w:val="index 3"/>
    <w:basedOn w:val="a1"/>
    <w:next w:val="a1"/>
    <w:autoRedefine/>
    <w:semiHidden/>
    <w:pPr>
      <w:ind w:left="960"/>
    </w:pPr>
  </w:style>
  <w:style w:type="paragraph" w:styleId="43">
    <w:name w:val="index 4"/>
    <w:basedOn w:val="a1"/>
    <w:next w:val="a1"/>
    <w:autoRedefine/>
    <w:semiHidden/>
    <w:pPr>
      <w:ind w:left="1440"/>
    </w:pPr>
  </w:style>
  <w:style w:type="paragraph" w:styleId="53">
    <w:name w:val="index 5"/>
    <w:basedOn w:val="a1"/>
    <w:next w:val="a1"/>
    <w:autoRedefine/>
    <w:semiHidden/>
    <w:pPr>
      <w:ind w:left="1920"/>
    </w:pPr>
  </w:style>
  <w:style w:type="paragraph" w:styleId="61">
    <w:name w:val="index 6"/>
    <w:basedOn w:val="a1"/>
    <w:next w:val="a1"/>
    <w:autoRedefine/>
    <w:semiHidden/>
    <w:pPr>
      <w:ind w:left="2400"/>
    </w:pPr>
  </w:style>
  <w:style w:type="paragraph" w:styleId="71">
    <w:name w:val="index 7"/>
    <w:basedOn w:val="a1"/>
    <w:next w:val="a1"/>
    <w:autoRedefine/>
    <w:semiHidden/>
    <w:pPr>
      <w:ind w:left="2880"/>
    </w:pPr>
  </w:style>
  <w:style w:type="paragraph" w:styleId="81">
    <w:name w:val="index 8"/>
    <w:basedOn w:val="a1"/>
    <w:next w:val="a1"/>
    <w:autoRedefine/>
    <w:semiHidden/>
    <w:pPr>
      <w:ind w:left="3360"/>
    </w:pPr>
  </w:style>
  <w:style w:type="paragraph" w:styleId="91">
    <w:name w:val="index 9"/>
    <w:basedOn w:val="a1"/>
    <w:next w:val="a1"/>
    <w:autoRedefine/>
    <w:semiHidden/>
    <w:pPr>
      <w:ind w:left="3840"/>
    </w:pPr>
  </w:style>
  <w:style w:type="paragraph" w:styleId="af4">
    <w:name w:val="index heading"/>
    <w:basedOn w:val="a1"/>
    <w:next w:val="11"/>
    <w:semiHidden/>
    <w:rPr>
      <w:rFonts w:ascii="Arial" w:hAnsi="Arial"/>
      <w:b/>
    </w:rPr>
  </w:style>
  <w:style w:type="paragraph" w:styleId="af5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 w:val="24"/>
    </w:rPr>
  </w:style>
  <w:style w:type="paragraph" w:styleId="af6">
    <w:name w:val="Subtitle"/>
    <w:basedOn w:val="a1"/>
    <w:qFormat/>
    <w:pPr>
      <w:spacing w:after="60"/>
      <w:jc w:val="center"/>
      <w:outlineLvl w:val="1"/>
    </w:pPr>
    <w:rPr>
      <w:rFonts w:ascii="Arial" w:eastAsia="新細明體" w:hAnsi="Arial"/>
      <w:i/>
      <w:sz w:val="24"/>
    </w:rPr>
  </w:style>
  <w:style w:type="paragraph" w:styleId="af7">
    <w:name w:val="Salutation"/>
    <w:basedOn w:val="a1"/>
    <w:next w:val="a1"/>
  </w:style>
  <w:style w:type="paragraph" w:styleId="af8">
    <w:name w:val="envelope return"/>
    <w:basedOn w:val="a1"/>
    <w:pPr>
      <w:snapToGrid w:val="0"/>
    </w:pPr>
    <w:rPr>
      <w:rFonts w:ascii="Arial" w:hAnsi="Arial"/>
    </w:rPr>
  </w:style>
  <w:style w:type="paragraph" w:styleId="af9">
    <w:name w:val="List Continue"/>
    <w:basedOn w:val="a1"/>
    <w:pPr>
      <w:spacing w:after="120"/>
      <w:ind w:left="480"/>
    </w:pPr>
  </w:style>
  <w:style w:type="paragraph" w:styleId="27">
    <w:name w:val="List Continue 2"/>
    <w:basedOn w:val="a1"/>
    <w:pPr>
      <w:spacing w:after="120"/>
      <w:ind w:left="960"/>
    </w:pPr>
  </w:style>
  <w:style w:type="paragraph" w:styleId="36">
    <w:name w:val="List Continue 3"/>
    <w:basedOn w:val="a1"/>
    <w:pPr>
      <w:spacing w:after="120"/>
      <w:ind w:left="1440"/>
    </w:pPr>
  </w:style>
  <w:style w:type="paragraph" w:styleId="44">
    <w:name w:val="List Continue 4"/>
    <w:basedOn w:val="a1"/>
    <w:pPr>
      <w:spacing w:after="120"/>
      <w:ind w:left="1920"/>
    </w:pPr>
  </w:style>
  <w:style w:type="paragraph" w:styleId="54">
    <w:name w:val="List Continue 5"/>
    <w:basedOn w:val="a1"/>
    <w:pPr>
      <w:spacing w:after="120"/>
      <w:ind w:left="2400"/>
    </w:pPr>
  </w:style>
  <w:style w:type="paragraph" w:styleId="afa">
    <w:name w:val="List"/>
    <w:basedOn w:val="a1"/>
    <w:pPr>
      <w:ind w:left="480" w:hanging="480"/>
    </w:pPr>
  </w:style>
  <w:style w:type="paragraph" w:styleId="28">
    <w:name w:val="List 2"/>
    <w:basedOn w:val="a1"/>
    <w:pPr>
      <w:ind w:left="960" w:hanging="480"/>
    </w:pPr>
  </w:style>
  <w:style w:type="paragraph" w:styleId="37">
    <w:name w:val="List 3"/>
    <w:basedOn w:val="a1"/>
    <w:pPr>
      <w:ind w:left="1440" w:hanging="480"/>
    </w:pPr>
  </w:style>
  <w:style w:type="paragraph" w:styleId="45">
    <w:name w:val="List 4"/>
    <w:basedOn w:val="a1"/>
    <w:pPr>
      <w:ind w:left="1920" w:hanging="480"/>
    </w:pPr>
  </w:style>
  <w:style w:type="paragraph" w:styleId="55">
    <w:name w:val="List 5"/>
    <w:basedOn w:val="a1"/>
    <w:pPr>
      <w:ind w:left="2400" w:hanging="480"/>
    </w:pPr>
  </w:style>
  <w:style w:type="paragraph" w:styleId="afb">
    <w:name w:val="endnote text"/>
    <w:basedOn w:val="a1"/>
    <w:semiHidden/>
    <w:pPr>
      <w:snapToGrid w:val="0"/>
    </w:pPr>
  </w:style>
  <w:style w:type="paragraph" w:styleId="afc">
    <w:name w:val="Closing"/>
    <w:basedOn w:val="a1"/>
    <w:next w:val="a1"/>
    <w:pPr>
      <w:ind w:left="4320"/>
    </w:pPr>
  </w:style>
  <w:style w:type="paragraph" w:styleId="afd">
    <w:name w:val="footnote text"/>
    <w:basedOn w:val="a1"/>
    <w:semiHidden/>
    <w:pPr>
      <w:snapToGrid w:val="0"/>
    </w:pPr>
  </w:style>
  <w:style w:type="paragraph" w:styleId="afe">
    <w:name w:val="annotation text"/>
    <w:basedOn w:val="a1"/>
    <w:semiHidden/>
  </w:style>
  <w:style w:type="paragraph" w:styleId="aff">
    <w:name w:val="Note Heading"/>
    <w:basedOn w:val="a1"/>
    <w:next w:val="a1"/>
    <w:pPr>
      <w:jc w:val="center"/>
    </w:p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f0">
    <w:name w:val="table of figures"/>
    <w:basedOn w:val="a1"/>
    <w:next w:val="a1"/>
    <w:semiHidden/>
    <w:pPr>
      <w:ind w:left="960" w:hanging="480"/>
    </w:pPr>
  </w:style>
  <w:style w:type="paragraph" w:styleId="aff1">
    <w:name w:val="caption"/>
    <w:basedOn w:val="a1"/>
    <w:next w:val="a1"/>
    <w:qFormat/>
    <w:pPr>
      <w:spacing w:before="120" w:after="120"/>
    </w:pPr>
  </w:style>
  <w:style w:type="paragraph" w:styleId="aff2">
    <w:name w:val="Signature"/>
    <w:basedOn w:val="a1"/>
    <w:pPr>
      <w:ind w:left="4320"/>
    </w:pPr>
  </w:style>
  <w:style w:type="table" w:styleId="aff3">
    <w:name w:val="Table Grid"/>
    <w:basedOn w:val="a4"/>
    <w:uiPriority w:val="59"/>
    <w:rsid w:val="00832EB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List Paragraph"/>
    <w:basedOn w:val="a1"/>
    <w:link w:val="aff5"/>
    <w:uiPriority w:val="34"/>
    <w:qFormat/>
    <w:rsid w:val="00D462A7"/>
    <w:pPr>
      <w:ind w:leftChars="200" w:left="480"/>
    </w:pPr>
  </w:style>
  <w:style w:type="paragraph" w:styleId="aff6">
    <w:name w:val="Balloon Text"/>
    <w:basedOn w:val="a1"/>
    <w:link w:val="aff7"/>
    <w:rsid w:val="004821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7">
    <w:name w:val="註解方塊文字 字元"/>
    <w:basedOn w:val="a3"/>
    <w:link w:val="aff6"/>
    <w:rsid w:val="00482169"/>
    <w:rPr>
      <w:rFonts w:asciiTheme="majorHAnsi" w:eastAsiaTheme="majorEastAsia" w:hAnsiTheme="majorHAnsi" w:cstheme="majorBidi"/>
      <w:sz w:val="18"/>
      <w:szCs w:val="18"/>
      <w:lang w:val="en-GB"/>
    </w:rPr>
  </w:style>
  <w:style w:type="character" w:customStyle="1" w:styleId="aff5">
    <w:name w:val="清單段落 字元"/>
    <w:basedOn w:val="a3"/>
    <w:link w:val="aff4"/>
    <w:uiPriority w:val="34"/>
    <w:rsid w:val="0089739D"/>
    <w:rPr>
      <w:rFonts w:eastAsia="細明體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WINWORD\TEMPLATE\MEMO_GOA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F9B73-137D-4888-96BB-839A117F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MEMO_GOA.DOT</Template>
  <TotalTime>68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 _____________</vt:lpstr>
    </vt:vector>
  </TitlesOfParts>
  <Company>HK SAR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 _____________</dc:title>
  <dc:creator>abd</dc:creator>
  <cp:lastModifiedBy>user</cp:lastModifiedBy>
  <cp:revision>22</cp:revision>
  <cp:lastPrinted>2017-01-05T12:28:00Z</cp:lastPrinted>
  <dcterms:created xsi:type="dcterms:W3CDTF">2017-01-09T03:51:00Z</dcterms:created>
  <dcterms:modified xsi:type="dcterms:W3CDTF">2020-12-24T04:06:00Z</dcterms:modified>
</cp:coreProperties>
</file>